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23" w:rsidRDefault="00813823" w:rsidP="00813823">
      <w:pPr>
        <w:pStyle w:val="s3"/>
        <w:shd w:val="clear" w:color="auto" w:fill="FFFFFF"/>
        <w:jc w:val="center"/>
        <w:rPr>
          <w:rFonts w:ascii="PT Serif" w:hAnsi="PT Serif"/>
          <w:color w:val="22272F"/>
          <w:sz w:val="34"/>
          <w:szCs w:val="34"/>
        </w:rPr>
      </w:pPr>
      <w:r>
        <w:rPr>
          <w:rFonts w:ascii="PT Serif" w:hAnsi="PT Serif"/>
          <w:color w:val="22272F"/>
          <w:sz w:val="34"/>
          <w:szCs w:val="34"/>
        </w:rPr>
        <w:t>Решение Новосибирского гарнизонного военного суда Новосибирской области от 10 января 2025 г. по делу N 2а-14/2025</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Новосибирский гарнизонный военный суд в составе: председательствующего Баулина Е.А., при секретаре судебного заседания Дронченко И.В., с участием представителя административного истца Л. представителя заинтересованного лица </w:t>
      </w:r>
      <w:proofErr w:type="spellStart"/>
      <w:r>
        <w:rPr>
          <w:rFonts w:ascii="PT Serif" w:hAnsi="PT Serif"/>
          <w:color w:val="22272F"/>
          <w:sz w:val="23"/>
          <w:szCs w:val="23"/>
        </w:rPr>
        <w:t>Кривенчук</w:t>
      </w:r>
      <w:proofErr w:type="spellEnd"/>
      <w:r>
        <w:rPr>
          <w:rFonts w:ascii="PT Serif" w:hAnsi="PT Serif"/>
          <w:color w:val="22272F"/>
          <w:sz w:val="23"/>
          <w:szCs w:val="23"/>
        </w:rPr>
        <w:t xml:space="preserve"> И.А., рассмотрел в открытом судебном заседании в помещении военного суда административное дело по административному исковому заявлению военнослужащего войсковой части N "данные изъяты" Максименко В. В. о признании незаконным бездействий командира войсковой части N, выразившихся в </w:t>
      </w:r>
      <w:proofErr w:type="spellStart"/>
      <w:r>
        <w:rPr>
          <w:rFonts w:ascii="PT Serif" w:hAnsi="PT Serif"/>
          <w:color w:val="22272F"/>
          <w:sz w:val="23"/>
          <w:szCs w:val="23"/>
        </w:rPr>
        <w:t>ненаправлении</w:t>
      </w:r>
      <w:proofErr w:type="spellEnd"/>
      <w:r>
        <w:rPr>
          <w:rFonts w:ascii="PT Serif" w:hAnsi="PT Serif"/>
          <w:color w:val="22272F"/>
          <w:sz w:val="23"/>
          <w:szCs w:val="23"/>
        </w:rPr>
        <w:t xml:space="preserve"> для прохождения медицинского освидетельствования для определения степени годности к военной службе и возложении на воинское должностное лицо обязанности по выдаче направления на военно-врачебную комиссию для определения степени годности к военной службе,</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УСТАНОВИЛ:</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Максименко обратился в суд в пределах установленного законом срока с административным исковым заявлением, в котором указал, что с 5 марта 2024 года </w:t>
      </w:r>
      <w:proofErr w:type="spellStart"/>
      <w:r>
        <w:rPr>
          <w:rFonts w:ascii="PT Serif" w:hAnsi="PT Serif"/>
          <w:color w:val="22272F"/>
          <w:sz w:val="23"/>
          <w:szCs w:val="23"/>
        </w:rPr>
        <w:t>года</w:t>
      </w:r>
      <w:proofErr w:type="spellEnd"/>
      <w:r>
        <w:rPr>
          <w:rFonts w:ascii="PT Serif" w:hAnsi="PT Serif"/>
          <w:color w:val="22272F"/>
          <w:sz w:val="23"/>
          <w:szCs w:val="23"/>
        </w:rPr>
        <w:t xml:space="preserve"> проходит военную службу по контракту в войсковой части N. В период с 6 по 28 августа 2024 года он находился на стационарном лечении с диагнозом - "данные изъяты" После прохождения лечения командованием ему был предоставлен отпуск </w:t>
      </w:r>
      <w:proofErr w:type="gramStart"/>
      <w:r>
        <w:rPr>
          <w:rFonts w:ascii="PT Serif" w:hAnsi="PT Serif"/>
          <w:color w:val="22272F"/>
          <w:sz w:val="23"/>
          <w:szCs w:val="23"/>
        </w:rPr>
        <w:t>при нахождении</w:t>
      </w:r>
      <w:proofErr w:type="gramEnd"/>
      <w:r>
        <w:rPr>
          <w:rFonts w:ascii="PT Serif" w:hAnsi="PT Serif"/>
          <w:color w:val="22272F"/>
          <w:sz w:val="23"/>
          <w:szCs w:val="23"/>
        </w:rPr>
        <w:t xml:space="preserve"> в котором его состояние здоровья резко ухудшилось, в связи с чем он обратился в Федеральное государственное казенное учреждение "425 военный госпиталь" Министерства обороны Российской Федерации (далее - Военный госпиталь). По результатам обследования в протоколе ведения пациента ему выставлен диагноз - "данные изъяты", рекомендовано представить на военно-врачебную комиссию (Далее - ВВК).</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Далее административный истец указал, что вопреки предписаниям инфекциониста направление на ВВК ему не выдано, в связи с чем полагал бездействия командира воинской части незаконными и просил суд обязать воинское должностное лицо выдать направление для прохождения обследования на предмет годности к военной службе.</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Надлежащим образом извещённые о времени и месте судебного заседания административный истец Максименко, административные ответчики - командир войсковой части N, начальник Федерального казённого учреждения "56 финансово-экономическая служба" Министерства обороны Российской Федерации в судебное заседание не прибыли.</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Поскольку указанные выше лица о причинах неявки суду не сообщили и не ходатайствовали о рассмотрении дела исключительно с их участием, то суд, в соответствии с </w:t>
      </w:r>
      <w:hyperlink r:id="rId4" w:anchor="/document/70885220/entry/2266" w:history="1">
        <w:r>
          <w:rPr>
            <w:rStyle w:val="a3"/>
            <w:rFonts w:ascii="PT Serif" w:hAnsi="PT Serif"/>
            <w:color w:val="3272C0"/>
            <w:sz w:val="23"/>
            <w:szCs w:val="23"/>
          </w:rPr>
          <w:t>ч.6 ст.226</w:t>
        </w:r>
      </w:hyperlink>
      <w:r>
        <w:rPr>
          <w:rFonts w:ascii="PT Serif" w:hAnsi="PT Serif"/>
          <w:color w:val="22272F"/>
          <w:sz w:val="23"/>
          <w:szCs w:val="23"/>
        </w:rPr>
        <w:t> КАС РФ полагал возможным провести судебное разбирательство в их отсутствие.</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lastRenderedPageBreak/>
        <w:t>Представитель административного истца Л. в судебном заседании требования административного иска поддержала, при этом пояснила, что истцом в адрес командования воинской части направлен рапорт о выдаче направления на ВВК с приложением соответствующих медицинских документов, однако на дату рассмотрения дела рапорт не рассмотрен, соответствующее направление не выдано, при этом истец находится по месту жительства, так как по состоянию здоровья не может прибыть в пункт дислокации воинской части.</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Также представитель пояснила, что в связи с окончанием отпуска и неприбытием в воинскую часть истцу приостановлена выплата денежного довольствия, что также препятствует его переезду к месту военной службы.</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Представитель заинтересованного лица - Военного госпиталя </w:t>
      </w:r>
      <w:proofErr w:type="spellStart"/>
      <w:r>
        <w:rPr>
          <w:rFonts w:ascii="PT Serif" w:hAnsi="PT Serif"/>
          <w:color w:val="22272F"/>
          <w:sz w:val="23"/>
          <w:szCs w:val="23"/>
        </w:rPr>
        <w:t>Кривенчук</w:t>
      </w:r>
      <w:proofErr w:type="spellEnd"/>
      <w:r>
        <w:rPr>
          <w:rFonts w:ascii="PT Serif" w:hAnsi="PT Serif"/>
          <w:color w:val="22272F"/>
          <w:sz w:val="23"/>
          <w:szCs w:val="23"/>
        </w:rPr>
        <w:t>, в свою очередь пояснила, что Максименко действительно обращался к врачу-инфекционисту госпиталя, по результатам осмотра ему выставлен диагноз - "данные изъяты", то есть заболевание, являющее социально значимым, при этом врачом рекомендовано проведение ВВК установленным порядком, то есть командованием воинской части после осмотра должностными лицами медицинского подразделения.</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Кроме того, </w:t>
      </w:r>
      <w:proofErr w:type="spellStart"/>
      <w:r>
        <w:rPr>
          <w:rFonts w:ascii="PT Serif" w:hAnsi="PT Serif"/>
          <w:color w:val="22272F"/>
          <w:sz w:val="23"/>
          <w:szCs w:val="23"/>
        </w:rPr>
        <w:t>Кривичук</w:t>
      </w:r>
      <w:proofErr w:type="spellEnd"/>
      <w:r>
        <w:rPr>
          <w:rFonts w:ascii="PT Serif" w:hAnsi="PT Serif"/>
          <w:color w:val="22272F"/>
          <w:sz w:val="23"/>
          <w:szCs w:val="23"/>
        </w:rPr>
        <w:t xml:space="preserve"> указала, что из представленных в материалы дела медицинских документов не усматривается, что состояние здоровья Максименко не позволяет последнему прибыть в расположение воинской части, так как диагноз ему установлен в 2024 году, заболевание в минимальной степени активности, показаний к стационарному лечению не имеется.</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Выслушав объяснения представителей административного истца и заинтересованного лица, исследовав доказательства, суд приходит к следующим выводам.</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В соответствии со </w:t>
      </w:r>
      <w:hyperlink r:id="rId5" w:anchor="/document/12191967/entry/61" w:history="1">
        <w:r>
          <w:rPr>
            <w:rStyle w:val="a3"/>
            <w:rFonts w:ascii="PT Serif" w:hAnsi="PT Serif"/>
            <w:color w:val="3272C0"/>
            <w:sz w:val="23"/>
            <w:szCs w:val="23"/>
          </w:rPr>
          <w:t>ст.61</w:t>
        </w:r>
      </w:hyperlink>
      <w:r>
        <w:rPr>
          <w:rFonts w:ascii="PT Serif" w:hAnsi="PT Serif"/>
          <w:color w:val="22272F"/>
          <w:sz w:val="23"/>
          <w:szCs w:val="23"/>
        </w:rPr>
        <w:t> Федерального закона от 21 ноября 2011 года N323-ФЗ "Об основах охраны здоровья граждан в Российской Федерации" военно-врачебная экспертиза проводится в целях определения годности к военной службе по конкретным военно-учетным специальностям.</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Согласно </w:t>
      </w:r>
      <w:hyperlink r:id="rId6" w:anchor="/document/70411156/entry/1002" w:history="1">
        <w:r>
          <w:rPr>
            <w:rStyle w:val="a3"/>
            <w:rFonts w:ascii="PT Serif" w:hAnsi="PT Serif"/>
            <w:color w:val="3272C0"/>
            <w:sz w:val="23"/>
            <w:szCs w:val="23"/>
          </w:rPr>
          <w:t>п.2</w:t>
        </w:r>
      </w:hyperlink>
      <w:r>
        <w:rPr>
          <w:rFonts w:ascii="PT Serif" w:hAnsi="PT Serif"/>
          <w:color w:val="22272F"/>
          <w:sz w:val="23"/>
          <w:szCs w:val="23"/>
        </w:rPr>
        <w:t> Положения о военно-врачебной экспертизе, утвержденного </w:t>
      </w:r>
      <w:hyperlink r:id="rId7" w:anchor="/document/70411156/entry/0" w:history="1">
        <w:r>
          <w:rPr>
            <w:rStyle w:val="a3"/>
            <w:rFonts w:ascii="PT Serif" w:hAnsi="PT Serif"/>
            <w:color w:val="3272C0"/>
            <w:sz w:val="23"/>
            <w:szCs w:val="23"/>
          </w:rPr>
          <w:t>постановлением</w:t>
        </w:r>
      </w:hyperlink>
      <w:r>
        <w:rPr>
          <w:rFonts w:ascii="PT Serif" w:hAnsi="PT Serif"/>
          <w:color w:val="22272F"/>
          <w:sz w:val="23"/>
          <w:szCs w:val="23"/>
        </w:rPr>
        <w:t> Правительства РФ от 4 июля 2013 года N565 (далее - Положение), для проведения военно-врачебной экспертизы в Вооруженных Силах РФ создаются военно-врачебные комиссии, порядок создания которых определяется соответствующими федеральными органами исполнительной власти, в которых федеральным законом предусмотрена военная служба.</w:t>
      </w:r>
    </w:p>
    <w:p w:rsidR="00813823" w:rsidRDefault="00813823" w:rsidP="00813823">
      <w:pPr>
        <w:pStyle w:val="s1"/>
        <w:shd w:val="clear" w:color="auto" w:fill="FFFFFF"/>
        <w:jc w:val="both"/>
        <w:rPr>
          <w:rFonts w:ascii="PT Serif" w:hAnsi="PT Serif"/>
          <w:color w:val="22272F"/>
          <w:sz w:val="23"/>
          <w:szCs w:val="23"/>
        </w:rPr>
      </w:pPr>
      <w:hyperlink r:id="rId8" w:anchor="/document/70411156/entry/1004" w:history="1">
        <w:r>
          <w:rPr>
            <w:rStyle w:val="a3"/>
            <w:rFonts w:ascii="PT Serif" w:hAnsi="PT Serif"/>
            <w:color w:val="3272C0"/>
            <w:sz w:val="23"/>
            <w:szCs w:val="23"/>
          </w:rPr>
          <w:t>Пунктом 4</w:t>
        </w:r>
      </w:hyperlink>
      <w:r>
        <w:rPr>
          <w:rFonts w:ascii="PT Serif" w:hAnsi="PT Serif"/>
          <w:color w:val="22272F"/>
          <w:sz w:val="23"/>
          <w:szCs w:val="23"/>
        </w:rPr>
        <w:t> Положения определено, что при военно-врачебной экспертизе освидетельствованию предшествует проведение обследования. При освидетельствовании проводятся изучение и оценка состояния здоровья и физического развития граждан на момент проведения экспертизы в целях определения их годности к военной службе, с учетом результатов ранее проведенного обследования и с вынесением письменного заключения.</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lastRenderedPageBreak/>
        <w:t>Направление военнослужащих на освидетельствование организуется Министерством обороны РФ, другими федеральными органами исполнительной власти, в которых федеральным законом предусмотрена военная служба.</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Порядок направления военнослужащих Вооруженных Сил РФ на медицинское освидетельствование определен соответствующей </w:t>
      </w:r>
      <w:hyperlink r:id="rId9" w:anchor="/document/71352890/entry/1000" w:history="1">
        <w:r>
          <w:rPr>
            <w:rStyle w:val="a3"/>
            <w:rFonts w:ascii="PT Serif" w:hAnsi="PT Serif"/>
            <w:color w:val="3272C0"/>
            <w:sz w:val="23"/>
            <w:szCs w:val="23"/>
          </w:rPr>
          <w:t>Инструкцией</w:t>
        </w:r>
      </w:hyperlink>
      <w:r>
        <w:rPr>
          <w:rFonts w:ascii="PT Serif" w:hAnsi="PT Serif"/>
          <w:color w:val="22272F"/>
          <w:sz w:val="23"/>
          <w:szCs w:val="23"/>
        </w:rPr>
        <w:t>, утвержденной </w:t>
      </w:r>
      <w:hyperlink r:id="rId10" w:anchor="/document/71352890/entry/0" w:history="1">
        <w:r>
          <w:rPr>
            <w:rStyle w:val="a3"/>
            <w:rFonts w:ascii="PT Serif" w:hAnsi="PT Serif"/>
            <w:color w:val="3272C0"/>
            <w:sz w:val="23"/>
            <w:szCs w:val="23"/>
          </w:rPr>
          <w:t>приказом</w:t>
        </w:r>
      </w:hyperlink>
      <w:r>
        <w:rPr>
          <w:rFonts w:ascii="PT Serif" w:hAnsi="PT Serif"/>
          <w:color w:val="22272F"/>
          <w:sz w:val="23"/>
          <w:szCs w:val="23"/>
        </w:rPr>
        <w:t> Минобороны РФ от 15 февраля 2016 года N55 (далее - Инструкция).</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В соответствии с </w:t>
      </w:r>
      <w:proofErr w:type="spellStart"/>
      <w:r>
        <w:rPr>
          <w:rFonts w:ascii="PT Serif" w:hAnsi="PT Serif"/>
          <w:color w:val="22272F"/>
          <w:sz w:val="23"/>
          <w:szCs w:val="23"/>
        </w:rPr>
        <w:fldChar w:fldCharType="begin"/>
      </w:r>
      <w:r>
        <w:rPr>
          <w:rFonts w:ascii="PT Serif" w:hAnsi="PT Serif"/>
          <w:color w:val="22272F"/>
          <w:sz w:val="23"/>
          <w:szCs w:val="23"/>
        </w:rPr>
        <w:instrText xml:space="preserve"> HYPERLINK "https://arbitr.garant.ru/" \l "/document/71352890/entry/10021" </w:instrText>
      </w:r>
      <w:r>
        <w:rPr>
          <w:rFonts w:ascii="PT Serif" w:hAnsi="PT Serif"/>
          <w:color w:val="22272F"/>
          <w:sz w:val="23"/>
          <w:szCs w:val="23"/>
        </w:rPr>
        <w:fldChar w:fldCharType="separate"/>
      </w:r>
      <w:r>
        <w:rPr>
          <w:rStyle w:val="a3"/>
          <w:rFonts w:ascii="PT Serif" w:hAnsi="PT Serif"/>
          <w:color w:val="3272C0"/>
          <w:sz w:val="23"/>
          <w:szCs w:val="23"/>
        </w:rPr>
        <w:t>пп</w:t>
      </w:r>
      <w:proofErr w:type="spellEnd"/>
      <w:r>
        <w:rPr>
          <w:rStyle w:val="a3"/>
          <w:rFonts w:ascii="PT Serif" w:hAnsi="PT Serif"/>
          <w:color w:val="3272C0"/>
          <w:sz w:val="23"/>
          <w:szCs w:val="23"/>
        </w:rPr>
        <w:t>."а" п.2</w:t>
      </w:r>
      <w:r>
        <w:rPr>
          <w:rFonts w:ascii="PT Serif" w:hAnsi="PT Serif"/>
          <w:color w:val="22272F"/>
          <w:sz w:val="23"/>
          <w:szCs w:val="23"/>
        </w:rPr>
        <w:fldChar w:fldCharType="end"/>
      </w:r>
      <w:r>
        <w:rPr>
          <w:rFonts w:ascii="PT Serif" w:hAnsi="PT Serif"/>
          <w:color w:val="22272F"/>
          <w:sz w:val="23"/>
          <w:szCs w:val="23"/>
        </w:rPr>
        <w:t> Инструкции направление на медицинское освидетельствование военнослужащих проводится в целях определения категории годности к военной службе.</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Согласно </w:t>
      </w:r>
      <w:hyperlink r:id="rId11" w:anchor="/document/71352890/entry/10031" w:history="1">
        <w:r>
          <w:rPr>
            <w:rStyle w:val="a3"/>
            <w:rFonts w:ascii="PT Serif" w:hAnsi="PT Serif"/>
            <w:color w:val="3272C0"/>
            <w:sz w:val="23"/>
            <w:szCs w:val="23"/>
          </w:rPr>
          <w:t>пп.</w:t>
        </w:r>
        <w:proofErr w:type="spellStart"/>
        <w:r>
          <w:rPr>
            <w:rStyle w:val="a3"/>
            <w:rFonts w:ascii="PT Serif" w:hAnsi="PT Serif"/>
            <w:color w:val="3272C0"/>
            <w:sz w:val="23"/>
            <w:szCs w:val="23"/>
          </w:rPr>
          <w:t>пп</w:t>
        </w:r>
        <w:proofErr w:type="spellEnd"/>
        <w:r>
          <w:rPr>
            <w:rStyle w:val="a3"/>
            <w:rFonts w:ascii="PT Serif" w:hAnsi="PT Serif"/>
            <w:color w:val="3272C0"/>
            <w:sz w:val="23"/>
            <w:szCs w:val="23"/>
          </w:rPr>
          <w:t>."а"</w:t>
        </w:r>
      </w:hyperlink>
      <w:r>
        <w:rPr>
          <w:rFonts w:ascii="PT Serif" w:hAnsi="PT Serif"/>
          <w:color w:val="22272F"/>
          <w:sz w:val="23"/>
          <w:szCs w:val="23"/>
        </w:rPr>
        <w:t>, </w:t>
      </w:r>
      <w:hyperlink r:id="rId12" w:anchor="/document/71352890/entry/10035" w:history="1">
        <w:r>
          <w:rPr>
            <w:rStyle w:val="a3"/>
            <w:rFonts w:ascii="PT Serif" w:hAnsi="PT Serif"/>
            <w:color w:val="3272C0"/>
            <w:sz w:val="23"/>
            <w:szCs w:val="23"/>
          </w:rPr>
          <w:t>"д" п.3</w:t>
        </w:r>
      </w:hyperlink>
      <w:r>
        <w:rPr>
          <w:rFonts w:ascii="PT Serif" w:hAnsi="PT Serif"/>
          <w:color w:val="22272F"/>
          <w:sz w:val="23"/>
          <w:szCs w:val="23"/>
        </w:rPr>
        <w:t> Инструкции направление на медицинское освидетельствование военнослужащих осуществляется прямыми начальниками от командира отдельной воинской части (начальника (руководителя) организации Вооруженных Сил) и выше, а также начальниками (руководителями) военно-медицинских организаций в целях определения категории годности к военной службе при выявлении увечий, заболеваний, по которым военнослужащие, проходящие военную службу по контракту на должностях солдат, матросов, сержантов, старшин, могут быть признаны негодными к военной службе (в том числе временно), ограниченно годными к военной службе или годность к военной службе определяется индивидуально.</w:t>
      </w:r>
    </w:p>
    <w:p w:rsidR="00813823" w:rsidRDefault="00813823" w:rsidP="00813823">
      <w:pPr>
        <w:pStyle w:val="s1"/>
        <w:shd w:val="clear" w:color="auto" w:fill="FFFFFF"/>
        <w:jc w:val="both"/>
        <w:rPr>
          <w:rFonts w:ascii="PT Serif" w:hAnsi="PT Serif"/>
          <w:color w:val="22272F"/>
          <w:sz w:val="23"/>
          <w:szCs w:val="23"/>
        </w:rPr>
      </w:pPr>
      <w:hyperlink r:id="rId13" w:anchor="/document/71352890/entry/1007" w:history="1">
        <w:r>
          <w:rPr>
            <w:rStyle w:val="a3"/>
            <w:rFonts w:ascii="PT Serif" w:hAnsi="PT Serif"/>
            <w:color w:val="3272C0"/>
            <w:sz w:val="23"/>
            <w:szCs w:val="23"/>
          </w:rPr>
          <w:t>Пунктами 7-9</w:t>
        </w:r>
      </w:hyperlink>
      <w:r>
        <w:rPr>
          <w:rFonts w:ascii="PT Serif" w:hAnsi="PT Serif"/>
          <w:color w:val="22272F"/>
          <w:sz w:val="23"/>
          <w:szCs w:val="23"/>
        </w:rPr>
        <w:t> Инструкции предусмотрено, что командиром воинской части на военнослужащих, направляемых на медицинское освидетельствование, организуется оформление направления на медицинское освидетельствование, которое подписывается командиром воинской части, заверяется печатью, а затем оно выдается военнослужащему либо направляется почтовой связью в адрес начальника (руководителя) военно-медицинской организации, руководителя медицинской организации государственной (муниципальной) системы здравоохранения, где военнослужащий находится на обследовании и лечении. При этом командиром воинской части одновременно с направлением на медицинское освидетельствование военнослужащему организуется выдача (вручение) либо направление почтовой связью в адрес начальника (руководителя) военно-медицинской организации, руководителя медицинской организации государственной (муниципальной) системы здравоохранения, где военнослужащий находится на обследовании и лечении, необходимых документов.</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В соответствии с п.п.5, 6 Методики направления на медицинское освидетельствование в целях определения годности к военной службе военнослужащих Вооруженных Сил Российской Федерации, выписанных из военно-медицинских организаций Министерства обороны Российской Федерации после ранений, заболеваний, утвержденной заместителем Министра обороны Российской Федерации 13 ноября 2023 года N106/6659дсп, установлено, что направлению для проведения медицинского освидетельствования военно-врачебной комиссией подлежат военнослужащие, по результатам медицинского осмотра и изучения медицинской документации которых будет установлено, что у них имеются изменения в состоянии здоровья, по которым они могут быть признаны не годными или ограниченно годными к военной службе </w:t>
      </w:r>
      <w:r>
        <w:rPr>
          <w:rFonts w:ascii="PT Serif" w:hAnsi="PT Serif"/>
          <w:color w:val="22272F"/>
          <w:sz w:val="23"/>
          <w:szCs w:val="23"/>
        </w:rPr>
        <w:lastRenderedPageBreak/>
        <w:t>вследствие ранения по соответствующим статьям расписания болезней, а также по заболеваниям, входящим в Перечень (приложение к указаниям заместителя Министра обороны Российской Федерации от 23 июня 2023 года N205/2/244).</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В сложных диагностических случаях для уточнения степени выраженности нарушения функции органов и систем органов организуется проведение медицинского осмотра военнослужащего врачами - специалистами в близлежащей военно-медицинской организации (медицинской воинской части, медицинском подразделении воинской части).</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Перечень заболеваний, которые предполагают направление на медицинское освидетельствование в случае, если имеются основания признать военнослужащего "В - ограниченно годным к военной службе" указан в приложении к указаниям заместителя Министра обороны Российской Федерации от 23 июня 2023 г. N205/2/244.</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Соответственно для проведения медицинского освидетельствования военнослужащего в целях определения категории годности к военной службе, необходимо выявление у него по результатам медицинского осмотра оснований для признания его не годным или ограниченно годным к военной службе вследствие ранения по соответствующим статьям расписания болезней, а также по заболеваниям, входящим в Перечень увечий (ранений, травм, контузий), определенный указаниями заместителя Министра обороны Российской Федерации от 23 июня 2023 года N205/2/244.</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Анализ указанных положений законодательства позволяет суду прийти к выводу, что командир воинской части с целью определения категории годности к военной службе может направить подчиненного ему военнослужащего на военно-врачебную комиссию, выдав ему необходимые документы для этого. При этом военнослужащий должен получить эти документы и прибыть в соответствующую военно-медицинскую организацию, в которой создана военно-врачебная комиссия, для прохождения обследования и освидетельствования.</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Из представленной копии военного билет N следует, что рядовой Максименко с 6 марта 2024 года является военнослужащим войсковой части N.</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Согласно копии протокола ведения пациента Военного госпиталя 25 сентября 2024 года на основании анамнеза и лабораторных исследований врачом-инфекционистом Ц. истцу установлен диагноз - "данные изъяты". Заболевание социально-значимое; ст.59 "б" - В - ограниченно годен к военной службе. ВВК установленным порядком". Кроме того, врачом указано, что в настоящий момент показаний для неотложного стационарного лечения не имеется. Также врачом рекомендовано медикаментозное лечение, диета, постановка на учет по месту жительства у инфекциониста после ВВК для решения вопроса о противовирусной терапии.</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Из рапорта Максименко от 26 сентября 2024 года, поданного на имя командира войсковой части N, следует, что военнослужащий просит направить его для прохождения ВВК в ФГКУ "425 ВГ" МО РФ.</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lastRenderedPageBreak/>
        <w:t>Из пояснений представителя административного истца Л. следует, что Максименко после окончания отпуска в сентябре 2024 года в воинскую часть не убывал, к исполнению обязанностей военной службы не приступал, в связи с чем ему приостановлена выплата денежного довольствия.</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Таким образом, суд считает, что командование воинской части лишено возможности предпринять какие-либо меры в отношении Максименко относительно организации его медицинского освидетельствования по причинам, зависящим исключительно от административного истца, ввиду его отсутствия в расположении воинской части с сентября 2024 года.</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Довод представителя истца о невозможности убытия Максименко к месту службы в связи с тяжелым состоянием здоровья суд отклоняет, так как </w:t>
      </w:r>
      <w:proofErr w:type="gramStart"/>
      <w:r>
        <w:rPr>
          <w:rFonts w:ascii="PT Serif" w:hAnsi="PT Serif"/>
          <w:color w:val="22272F"/>
          <w:sz w:val="23"/>
          <w:szCs w:val="23"/>
        </w:rPr>
        <w:t>документов</w:t>
      </w:r>
      <w:proofErr w:type="gramEnd"/>
      <w:r>
        <w:rPr>
          <w:rFonts w:ascii="PT Serif" w:hAnsi="PT Serif"/>
          <w:color w:val="22272F"/>
          <w:sz w:val="23"/>
          <w:szCs w:val="23"/>
        </w:rPr>
        <w:t xml:space="preserve"> его обосновывающих в материалы дела не представлено, при этом из копии листа записи врача-специалиста "данные изъяты" от 2 декабря 2024 года следует, что состояние Максименко удовлетворительное, стабильное.</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При установленных выше обстоятельствах военный суд полагает необходимым отказать в удовлетворении заявленных требований административного истца в полном объеме.</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В соответствии со </w:t>
      </w:r>
      <w:hyperlink r:id="rId14" w:anchor="/document/70885220/entry/111" w:history="1">
        <w:r>
          <w:rPr>
            <w:rStyle w:val="a3"/>
            <w:rFonts w:ascii="PT Serif" w:hAnsi="PT Serif"/>
            <w:color w:val="3272C0"/>
            <w:sz w:val="23"/>
            <w:szCs w:val="23"/>
          </w:rPr>
          <w:t>ст.111</w:t>
        </w:r>
      </w:hyperlink>
      <w:r>
        <w:rPr>
          <w:rFonts w:ascii="PT Serif" w:hAnsi="PT Serif"/>
          <w:color w:val="22272F"/>
          <w:sz w:val="23"/>
          <w:szCs w:val="23"/>
        </w:rPr>
        <w:t> КАС РФ, понесенные административным истцом судебные расходы, взысканию с административных ответчиков не подлежат.</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Руководствуясь </w:t>
      </w:r>
      <w:hyperlink r:id="rId15" w:anchor="/document/70885220/entry/175" w:history="1">
        <w:r>
          <w:rPr>
            <w:rStyle w:val="a3"/>
            <w:rFonts w:ascii="PT Serif" w:hAnsi="PT Serif"/>
            <w:color w:val="3272C0"/>
            <w:sz w:val="23"/>
            <w:szCs w:val="23"/>
          </w:rPr>
          <w:t>ст.ст.175-180</w:t>
        </w:r>
      </w:hyperlink>
      <w:r>
        <w:rPr>
          <w:rFonts w:ascii="PT Serif" w:hAnsi="PT Serif"/>
          <w:color w:val="22272F"/>
          <w:sz w:val="23"/>
          <w:szCs w:val="23"/>
        </w:rPr>
        <w:t>, </w:t>
      </w:r>
      <w:hyperlink r:id="rId16" w:anchor="/document/70885220/entry/227" w:history="1">
        <w:r>
          <w:rPr>
            <w:rStyle w:val="a3"/>
            <w:rFonts w:ascii="PT Serif" w:hAnsi="PT Serif"/>
            <w:color w:val="3272C0"/>
            <w:sz w:val="23"/>
            <w:szCs w:val="23"/>
          </w:rPr>
          <w:t>227</w:t>
        </w:r>
      </w:hyperlink>
      <w:r>
        <w:rPr>
          <w:rFonts w:ascii="PT Serif" w:hAnsi="PT Serif"/>
          <w:color w:val="22272F"/>
          <w:sz w:val="23"/>
          <w:szCs w:val="23"/>
        </w:rPr>
        <w:t> КАС РФ, военный суд</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РЕШИЛ:</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 xml:space="preserve">В удовлетворении заявленных требований Максименко В. В. о признании незаконным бездействий командира войсковой части N, выразившихся в </w:t>
      </w:r>
      <w:proofErr w:type="spellStart"/>
      <w:r>
        <w:rPr>
          <w:rFonts w:ascii="PT Serif" w:hAnsi="PT Serif"/>
          <w:color w:val="22272F"/>
          <w:sz w:val="23"/>
          <w:szCs w:val="23"/>
        </w:rPr>
        <w:t>ненаправлении</w:t>
      </w:r>
      <w:proofErr w:type="spellEnd"/>
      <w:r>
        <w:rPr>
          <w:rFonts w:ascii="PT Serif" w:hAnsi="PT Serif"/>
          <w:color w:val="22272F"/>
          <w:sz w:val="23"/>
          <w:szCs w:val="23"/>
        </w:rPr>
        <w:t xml:space="preserve"> для прохождения медицинского освидетельствования для определения степени годности к военной службе и возложении на воинское должностное лицо обязанности по выдаче направления на военно-врачебную комиссию для определения степени годности к военной службе, отказать.</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Решение может быть обжаловано в апелляционном порядке во 2-й Восточный окружной военный суд через Новосибирский гарнизонный военный суд в течение месяца со дня принятия решения судом в окончательной форме.</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Председательствующий Е.А. Баулин</w:t>
      </w:r>
    </w:p>
    <w:p w:rsidR="00813823" w:rsidRDefault="00813823" w:rsidP="00813823">
      <w:pPr>
        <w:pStyle w:val="s1"/>
        <w:shd w:val="clear" w:color="auto" w:fill="FFFFFF"/>
        <w:jc w:val="both"/>
        <w:rPr>
          <w:rFonts w:ascii="PT Serif" w:hAnsi="PT Serif"/>
          <w:color w:val="22272F"/>
          <w:sz w:val="23"/>
          <w:szCs w:val="23"/>
        </w:rPr>
      </w:pPr>
      <w:r>
        <w:rPr>
          <w:rFonts w:ascii="PT Serif" w:hAnsi="PT Serif"/>
          <w:color w:val="22272F"/>
          <w:sz w:val="23"/>
          <w:szCs w:val="23"/>
        </w:rPr>
        <w:t>Мотивированное решение составлено 24 января 2025 года.</w:t>
      </w:r>
    </w:p>
    <w:p w:rsidR="004C72CE" w:rsidRDefault="004C72CE">
      <w:bookmarkStart w:id="0" w:name="_GoBack"/>
      <w:bookmarkEnd w:id="0"/>
    </w:p>
    <w:sectPr w:rsidR="004C7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23"/>
    <w:rsid w:val="0041239A"/>
    <w:rsid w:val="004C72CE"/>
    <w:rsid w:val="00813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629E4-3231-4A46-B933-0284C62A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813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13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138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0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bitr.garant.ru/" TargetMode="External"/><Relationship Id="rId13" Type="http://schemas.openxmlformats.org/officeDocument/2006/relationships/hyperlink" Target="https://arbitr.garant.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rbitr.garant.ru/" TargetMode="External"/><Relationship Id="rId12" Type="http://schemas.openxmlformats.org/officeDocument/2006/relationships/hyperlink" Target="https://arbitr.garant.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rbitr.garant.ru/" TargetMode="External"/><Relationship Id="rId1" Type="http://schemas.openxmlformats.org/officeDocument/2006/relationships/styles" Target="styles.xml"/><Relationship Id="rId6" Type="http://schemas.openxmlformats.org/officeDocument/2006/relationships/hyperlink" Target="https://arbitr.garant.ru/" TargetMode="External"/><Relationship Id="rId11" Type="http://schemas.openxmlformats.org/officeDocument/2006/relationships/hyperlink" Target="https://arbitr.garant.ru/" TargetMode="External"/><Relationship Id="rId5" Type="http://schemas.openxmlformats.org/officeDocument/2006/relationships/hyperlink" Target="https://arbitr.garant.ru/" TargetMode="External"/><Relationship Id="rId15" Type="http://schemas.openxmlformats.org/officeDocument/2006/relationships/hyperlink" Target="https://arbitr.garant.ru/" TargetMode="External"/><Relationship Id="rId10" Type="http://schemas.openxmlformats.org/officeDocument/2006/relationships/hyperlink" Target="https://arbitr.garant.ru/" TargetMode="External"/><Relationship Id="rId4" Type="http://schemas.openxmlformats.org/officeDocument/2006/relationships/hyperlink" Target="https://arbitr.garant.ru/" TargetMode="External"/><Relationship Id="rId9" Type="http://schemas.openxmlformats.org/officeDocument/2006/relationships/hyperlink" Target="https://arbitr.garant.ru/" TargetMode="External"/><Relationship Id="rId14" Type="http://schemas.openxmlformats.org/officeDocument/2006/relationships/hyperlink" Target="https://arbitr.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2115</Words>
  <Characters>12059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1</cp:revision>
  <dcterms:created xsi:type="dcterms:W3CDTF">2025-04-11T05:54:00Z</dcterms:created>
  <dcterms:modified xsi:type="dcterms:W3CDTF">2025-04-14T05:21:00Z</dcterms:modified>
</cp:coreProperties>
</file>